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D" w:rsidRDefault="0055578D" w:rsidP="00B2199A">
      <w:pPr>
        <w:rPr>
          <w:lang w:val="de-CH"/>
        </w:rPr>
      </w:pPr>
    </w:p>
    <w:p w:rsidR="00BC7742" w:rsidRPr="00FF20E0" w:rsidRDefault="00232C3E" w:rsidP="0055578D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</w:pPr>
      <w:r w:rsidRPr="00FF20E0"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  <w:t>Qualitätsansprüche an die Lektion- und Unterrichtspläne</w:t>
      </w:r>
    </w:p>
    <w:p w:rsidR="00AC4C19" w:rsidRPr="00FF20E0" w:rsidRDefault="00AC4C19" w:rsidP="0055578D">
      <w:pPr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55578D" w:rsidRPr="00FF20E0" w:rsidRDefault="0055578D" w:rsidP="0055578D">
      <w:pPr>
        <w:pStyle w:val="Cmsor2"/>
        <w:spacing w:before="0" w:after="8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FF20E0">
        <w:rPr>
          <w:rFonts w:asciiTheme="minorHAnsi" w:hAnsiTheme="minorHAnsi"/>
          <w:b/>
          <w:sz w:val="28"/>
          <w:szCs w:val="28"/>
        </w:rPr>
        <w:t>Zur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Vorbereitung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der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Lerninhalte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einschlägige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Qualitätsanforderungen</w:t>
      </w:r>
      <w:proofErr w:type="spellEnd"/>
    </w:p>
    <w:p w:rsidR="0055578D" w:rsidRPr="00FF20E0" w:rsidRDefault="0055578D" w:rsidP="0055578D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55578D" w:rsidRPr="00FF20E0" w:rsidRDefault="0055578D" w:rsidP="0055578D">
      <w:pPr>
        <w:spacing w:after="80" w:line="240" w:lineRule="auto"/>
        <w:ind w:left="357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betrachtet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festgestellten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Lernzwecke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Ausgangspunkt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Zusammenstellen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Unterrichtsmaterials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Deshalb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Lerninhalte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aufgrund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Lernergebnissen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nicht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umgekehrt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)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entlang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folgenden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Kriterien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festgestellt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:</w:t>
      </w:r>
    </w:p>
    <w:p w:rsidR="0055578D" w:rsidRPr="00FF20E0" w:rsidRDefault="0055578D" w:rsidP="0055578D">
      <w:pPr>
        <w:spacing w:after="80" w:line="240" w:lineRule="auto"/>
        <w:ind w:left="357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Feststellung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Wissens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Kenntnisse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Begriffe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),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Lehrplan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beinhalten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soll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damit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festgestellte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Ergebnisse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erreichen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Feststellung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Fähigkeiten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Ende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erreichen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sollen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Feststellung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entsprechenden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Gleichgewichts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Kenntnisse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/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Fähigkeiten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Festsetzung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Zielgruppe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Studienanfänger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oder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Schulabgänger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inhaltlichen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Relevanz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relevant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oder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grundlegend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innerhalb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bestimmten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Disziplin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Inhaltsvalidität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Genauigkeit</w:t>
      </w:r>
      <w:proofErr w:type="spellEnd"/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Nützlichkeit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Inhaltes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professionellen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Arbeit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wirklichen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Leben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ausnutzen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Abklärung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Erreichung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Zugänglichkeit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Auswahl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Wählbarkeit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Ausschlusses</w:t>
      </w:r>
      <w:proofErr w:type="spellEnd"/>
    </w:p>
    <w:p w:rsidR="0055578D" w:rsidRPr="00FF20E0" w:rsidRDefault="0055578D" w:rsidP="0055578D">
      <w:pPr>
        <w:pStyle w:val="Listaszerbekezds"/>
        <w:spacing w:after="80" w:line="240" w:lineRule="auto"/>
        <w:ind w:left="714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</w:p>
    <w:p w:rsidR="0055578D" w:rsidRDefault="0055578D" w:rsidP="0055578D">
      <w:pPr>
        <w:spacing w:after="80" w:line="240" w:lineRule="auto"/>
        <w:ind w:left="357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Nachfolgend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abgeschriebenen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Lerninhalte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aufgrund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drei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wichtiger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Prinzipien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zusammengestellt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:</w:t>
      </w:r>
    </w:p>
    <w:p w:rsidR="00FF20E0" w:rsidRPr="00FF20E0" w:rsidRDefault="00FF20E0" w:rsidP="0055578D">
      <w:pPr>
        <w:spacing w:after="80" w:line="240" w:lineRule="auto"/>
        <w:ind w:left="357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Feststellung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logischen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Aufbaus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während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Zusammenstellens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Lehrplanes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: von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wenigen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komplexen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komplexer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Wissensbasis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Integration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Materials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damit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neuen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Kenntnisse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anderer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Alltagsgeschehen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verbinden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8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Kontinuierlicher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internationaler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Ausblick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damit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Leistung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internationalenr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oder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multikultureller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Arbeitsumwelt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vorbereitet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sowie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Entwicklung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ihrer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Fähigkeiten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darauf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positiven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Einstellungen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Welt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bestehenden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Vielfalt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zum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Ausdruck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bringen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spacing w:after="8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spacing w:after="80" w:line="240" w:lineRule="auto"/>
        <w:ind w:left="360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Interesse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Verstärkung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Entwicklung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Studien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Bildung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führt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regelmässig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Monitoring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durch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sowie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entwickelt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kontinuierlich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Lerninhalte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ständig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ändernden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Anforderungen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entsprechen</w:t>
      </w:r>
      <w:proofErr w:type="spellEnd"/>
      <w:r w:rsidRPr="00FF20E0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</w:p>
    <w:p w:rsidR="0055578D" w:rsidRPr="00FF20E0" w:rsidRDefault="0055578D" w:rsidP="0055578D">
      <w:pPr>
        <w:pStyle w:val="Cmsor2"/>
        <w:spacing w:after="120"/>
        <w:ind w:left="1440"/>
        <w:jc w:val="center"/>
        <w:rPr>
          <w:rFonts w:asciiTheme="minorHAnsi" w:hAnsiTheme="minorHAnsi"/>
          <w:b/>
          <w:sz w:val="28"/>
          <w:szCs w:val="28"/>
        </w:rPr>
      </w:pPr>
    </w:p>
    <w:p w:rsidR="0055578D" w:rsidRPr="00FF20E0" w:rsidRDefault="0055578D" w:rsidP="0055578D">
      <w:pPr>
        <w:pStyle w:val="Cmsor2"/>
        <w:spacing w:after="120"/>
        <w:ind w:left="144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FF20E0">
        <w:rPr>
          <w:rFonts w:asciiTheme="minorHAnsi" w:hAnsiTheme="minorHAnsi"/>
          <w:b/>
          <w:sz w:val="28"/>
          <w:szCs w:val="28"/>
        </w:rPr>
        <w:t>Qualifikationsanforderungen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bezüglich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der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Stundenpläne</w:t>
      </w:r>
      <w:proofErr w:type="spellEnd"/>
    </w:p>
    <w:p w:rsidR="0055578D" w:rsidRPr="00FF20E0" w:rsidRDefault="0055578D" w:rsidP="0055578D">
      <w:pPr>
        <w:rPr>
          <w:rFonts w:asciiTheme="minorHAnsi" w:hAnsiTheme="minorHAnsi"/>
          <w:sz w:val="28"/>
          <w:szCs w:val="28"/>
          <w:lang w:val="hu-HU"/>
        </w:rPr>
      </w:pPr>
    </w:p>
    <w:p w:rsidR="0055578D" w:rsidRPr="00FF20E0" w:rsidRDefault="0055578D" w:rsidP="0055578D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Instution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Sicherung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möglichst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effizienten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tatsächlich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studentenorientierten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Bildung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Dazu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äusserst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wichtig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sorgfältig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geplant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vorab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überlegt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geprüft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erfolgt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inspiriert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Stundenpläne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festgestellten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Kritieren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regelmässig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erstellen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verwenden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erwarten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Intranetseite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gespeicherte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Muster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Stundenplan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verwenden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All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erleichtert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Aufgabe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stellvertretenden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;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bedeutet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Hilfe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Konzeption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nötigenfalls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stellvertretenen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kennenlernt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Interesse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tatsächlichen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Erfüllung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mit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Kurz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zusammenhängenden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Ansprüchen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folgenden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Elemente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Stundenpläne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aufzunehmen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:</w:t>
      </w:r>
    </w:p>
    <w:p w:rsidR="0055578D" w:rsidRPr="00FF20E0" w:rsidRDefault="0055578D" w:rsidP="0055578D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berücksichtigt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Zielsetzungen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Thema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anzugeben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warauf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erster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Linie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fokussieren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möchte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2"/>
        </w:numPr>
        <w:tabs>
          <w:tab w:val="left" w:pos="1418"/>
        </w:tabs>
        <w:spacing w:after="200" w:line="240" w:lineRule="auto"/>
        <w:ind w:left="2126" w:hanging="425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Wissen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Teilnahme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erhalten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Vorstellungen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2"/>
        </w:numPr>
        <w:tabs>
          <w:tab w:val="left" w:pos="1418"/>
        </w:tabs>
        <w:spacing w:after="200" w:line="240" w:lineRule="auto"/>
        <w:ind w:left="2126" w:hanging="425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Teilnahme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erlernen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Terminologie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Fakten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2"/>
        </w:numPr>
        <w:tabs>
          <w:tab w:val="left" w:pos="1418"/>
        </w:tabs>
        <w:spacing w:after="200" w:line="240" w:lineRule="auto"/>
        <w:ind w:left="2126" w:hanging="425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Fähigkeiten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erwerben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Teilnahme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Fähigkeiten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während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übergebenen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aufgedeckten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Lerninhalte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prüfenden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Fragen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Einleitung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Erörterung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Themas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Lernaktivitäten</w:t>
      </w:r>
      <w:proofErr w:type="spellEnd"/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notwendigen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Lernhilfen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Quellen</w:t>
      </w:r>
      <w:proofErr w:type="spellEnd"/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</w:p>
    <w:p w:rsidR="0055578D" w:rsidRDefault="0055578D" w:rsidP="0055578D">
      <w:pPr>
        <w:pStyle w:val="Listaszerbekezds"/>
        <w:numPr>
          <w:ilvl w:val="0"/>
          <w:numId w:val="20"/>
        </w:numPr>
        <w:spacing w:after="80" w:line="240" w:lineRule="auto"/>
        <w:ind w:left="1423" w:hanging="357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letzte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zusammenfassende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Rückkoppelung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Stundenplan</w:t>
      </w:r>
      <w:proofErr w:type="spellEnd"/>
    </w:p>
    <w:p w:rsidR="00FF20E0" w:rsidRPr="00FF20E0" w:rsidRDefault="00FF20E0" w:rsidP="0055578D">
      <w:pPr>
        <w:pStyle w:val="Listaszerbekezds"/>
        <w:numPr>
          <w:ilvl w:val="0"/>
          <w:numId w:val="20"/>
        </w:numPr>
        <w:spacing w:after="80" w:line="240" w:lineRule="auto"/>
        <w:ind w:left="1423" w:hanging="357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Default="0055578D" w:rsidP="0055578D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Stundenpläne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aufgrund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folgenden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Ansichtspunkten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erarbeiten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:</w:t>
      </w:r>
    </w:p>
    <w:p w:rsidR="00FF20E0" w:rsidRPr="00FF20E0" w:rsidRDefault="00FF20E0" w:rsidP="0055578D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eindeutige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Feststellung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Wissensstand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mit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Unterrichtsmaterial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zusammenhängende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Hintergrundinformationen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Ausarbeiten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verschiedener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studentinteraktiven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Modellen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Einzelarbeit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Gruppenarbeit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Teamarbeit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durchschaubare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Planung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Zeiteinteilung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(von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Aufwärmen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gesteuerte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Fragen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)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ind w:left="1428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interaktiver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Charakter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studentenorientierte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</w:t>
      </w:r>
      <w:proofErr w:type="spellEnd"/>
    </w:p>
    <w:p w:rsidR="0055578D" w:rsidRPr="00FF20E0" w:rsidRDefault="0055578D" w:rsidP="0055578D">
      <w:pPr>
        <w:pStyle w:val="Listaszerbekezds"/>
        <w:numPr>
          <w:ilvl w:val="0"/>
          <w:numId w:val="22"/>
        </w:numPr>
        <w:tabs>
          <w:tab w:val="left" w:pos="1418"/>
        </w:tabs>
        <w:spacing w:after="200" w:line="240" w:lineRule="auto"/>
        <w:ind w:left="2126" w:hanging="425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lastRenderedPageBreak/>
        <w:t>Einbezug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eindeutigen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Mitteilung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Unterrichtes</w:t>
      </w:r>
      <w:proofErr w:type="spellEnd"/>
    </w:p>
    <w:p w:rsidR="0055578D" w:rsidRPr="00FF20E0" w:rsidRDefault="0055578D" w:rsidP="0055578D">
      <w:pPr>
        <w:pStyle w:val="Listaszerbekezds"/>
        <w:numPr>
          <w:ilvl w:val="0"/>
          <w:numId w:val="22"/>
        </w:numPr>
        <w:tabs>
          <w:tab w:val="left" w:pos="1418"/>
        </w:tabs>
        <w:spacing w:after="200" w:line="240" w:lineRule="auto"/>
        <w:ind w:left="2126" w:hanging="425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Leistung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während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ganzen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dementsprechendes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Versehen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weiterer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Aufgaben</w:t>
      </w:r>
      <w:proofErr w:type="spellEnd"/>
    </w:p>
    <w:p w:rsidR="0055578D" w:rsidRPr="00FF20E0" w:rsidRDefault="0055578D" w:rsidP="0055578D">
      <w:pPr>
        <w:pStyle w:val="Listaszerbekezds"/>
        <w:numPr>
          <w:ilvl w:val="0"/>
          <w:numId w:val="22"/>
        </w:numPr>
        <w:tabs>
          <w:tab w:val="left" w:pos="1418"/>
        </w:tabs>
        <w:spacing w:after="200" w:line="240" w:lineRule="auto"/>
        <w:ind w:left="2126" w:hanging="425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Abschluss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kurzer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Zusammenfassung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Zeit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überlegen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gelernt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Fragen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stellen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Feedback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tabs>
          <w:tab w:val="left" w:pos="1418"/>
        </w:tabs>
        <w:spacing w:line="240" w:lineRule="auto"/>
        <w:ind w:left="2126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pStyle w:val="Cmsor2"/>
        <w:spacing w:after="120"/>
        <w:ind w:left="144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FF20E0">
        <w:rPr>
          <w:rFonts w:asciiTheme="minorHAnsi" w:hAnsiTheme="minorHAnsi"/>
          <w:b/>
          <w:sz w:val="28"/>
          <w:szCs w:val="28"/>
        </w:rPr>
        <w:t>Unterrichtungs-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und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Lernmethoden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während</w:t>
      </w:r>
      <w:proofErr w:type="spellEnd"/>
      <w:r w:rsidRPr="00FF20E0">
        <w:rPr>
          <w:rFonts w:asciiTheme="minorHAnsi" w:hAnsiTheme="minorHAnsi"/>
          <w:b/>
          <w:sz w:val="28"/>
          <w:szCs w:val="28"/>
        </w:rPr>
        <w:t xml:space="preserve"> der </w:t>
      </w:r>
      <w:proofErr w:type="spellStart"/>
      <w:r w:rsidRPr="00FF20E0">
        <w:rPr>
          <w:rFonts w:asciiTheme="minorHAnsi" w:hAnsiTheme="minorHAnsi"/>
          <w:b/>
          <w:sz w:val="28"/>
          <w:szCs w:val="28"/>
        </w:rPr>
        <w:t>Stundenplanung</w:t>
      </w:r>
      <w:proofErr w:type="spellEnd"/>
    </w:p>
    <w:p w:rsidR="0055578D" w:rsidRPr="00FF20E0" w:rsidRDefault="0055578D" w:rsidP="0055578D">
      <w:pPr>
        <w:rPr>
          <w:rFonts w:asciiTheme="minorHAnsi" w:hAnsiTheme="minorHAnsi"/>
          <w:sz w:val="28"/>
          <w:szCs w:val="28"/>
          <w:lang w:val="hu-HU"/>
        </w:rPr>
      </w:pPr>
    </w:p>
    <w:p w:rsidR="0055578D" w:rsidRPr="00FF20E0" w:rsidRDefault="0055578D" w:rsidP="0055578D">
      <w:pPr>
        <w:spacing w:line="240" w:lineRule="auto"/>
        <w:ind w:left="360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konzentrieren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spezifischen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Ansprüche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planen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diese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nicht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anderen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Ansichtspunkten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richten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spacing w:line="240" w:lineRule="auto"/>
        <w:ind w:left="360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Unterrichtsprogramm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beruht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allem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Anwendbarkeit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konzentriert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reale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Rahmen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gut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geplanter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versehen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Lehrtätigkeit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Hilfe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bereitstellt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Studienarbeit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durchsehen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verfolgen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sowie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verstehen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man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soll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warum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wichtig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erläutern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warum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etwas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darüber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bevor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liefern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zahlreichen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verwenden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Bildungsarbeit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Methode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Problemlösung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Diskussion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sichern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Transparenz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bei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solche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geistige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Verhalten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Vorurteile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entwickeln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Schwierigkeiten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bei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Annahme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neuer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Gedanken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anderer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Denkweise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darstellen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Unterrichtsstunden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besonderer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Kommunikation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„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brain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storming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” (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Assoziierung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von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Ideen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Aufdeckung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von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Ideen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Ideensturm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)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gelegt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Möglichkeit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darauf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 den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gesamten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Zyklus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aktiv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teilnehmen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Fragen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stellen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5578D" w:rsidRPr="00FF20E0" w:rsidRDefault="0055578D" w:rsidP="0055578D">
      <w:pPr>
        <w:pStyle w:val="Listaszerbekezds"/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5578D" w:rsidRPr="00FF20E0" w:rsidRDefault="0055578D" w:rsidP="0055578D">
      <w:pPr>
        <w:pStyle w:val="Listaszerbekezds"/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highlight w:val="yellow"/>
          <w:shd w:val="clear" w:color="auto" w:fill="FFFFFF"/>
          <w:lang w:val="hu-HU"/>
        </w:rPr>
      </w:pPr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geben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Feedback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Hilfe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elektronischen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Meinung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wird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bei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Erstellen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zukünftigen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Stundenpläne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Betracht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gezogen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ermöglicht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Teilnehmende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Prozesses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Entscheidungen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sein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  <w:r w:rsidRPr="00FF20E0">
        <w:rPr>
          <w:rFonts w:asciiTheme="minorHAnsi" w:hAnsiTheme="minorHAnsi"/>
          <w:color w:val="365F91" w:themeColor="accent1" w:themeShade="BF"/>
          <w:sz w:val="28"/>
          <w:szCs w:val="28"/>
          <w:highlight w:val="yellow"/>
          <w:shd w:val="clear" w:color="auto" w:fill="FFFFFF"/>
          <w:lang w:val="hu-HU"/>
        </w:rPr>
        <w:t xml:space="preserve"> </w:t>
      </w:r>
    </w:p>
    <w:p w:rsidR="0055578D" w:rsidRPr="00FF20E0" w:rsidRDefault="0055578D" w:rsidP="0055578D">
      <w:pPr>
        <w:pStyle w:val="Listaszerbekezds"/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Damit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innere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Motivation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Selbstvertrauen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verstärken</w:t>
      </w:r>
      <w:proofErr w:type="spellEnd"/>
      <w:r w:rsidRPr="00FF20E0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AC4C19" w:rsidRPr="00FF20E0" w:rsidRDefault="00AC4C19" w:rsidP="0055578D">
      <w:pPr>
        <w:jc w:val="both"/>
        <w:rPr>
          <w:rFonts w:asciiTheme="minorHAnsi" w:hAnsiTheme="minorHAnsi"/>
          <w:sz w:val="28"/>
          <w:szCs w:val="28"/>
        </w:rPr>
      </w:pPr>
    </w:p>
    <w:sectPr w:rsidR="00AC4C19" w:rsidRPr="00FF20E0" w:rsidSect="005557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A2" w:rsidRDefault="005137A2" w:rsidP="00510029">
      <w:pPr>
        <w:spacing w:line="240" w:lineRule="auto"/>
      </w:pPr>
      <w:r>
        <w:separator/>
      </w:r>
    </w:p>
  </w:endnote>
  <w:endnote w:type="continuationSeparator" w:id="0">
    <w:p w:rsidR="005137A2" w:rsidRDefault="005137A2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A2" w:rsidRDefault="005137A2" w:rsidP="00510029">
      <w:pPr>
        <w:spacing w:line="240" w:lineRule="auto"/>
      </w:pPr>
      <w:r>
        <w:separator/>
      </w:r>
    </w:p>
  </w:footnote>
  <w:footnote w:type="continuationSeparator" w:id="0">
    <w:p w:rsidR="005137A2" w:rsidRDefault="005137A2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3016F7">
    <w:pPr>
      <w:pStyle w:val="lfej"/>
    </w:pPr>
    <w:r w:rsidRPr="003016F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3016F7" w:rsidRPr="003016F7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3016F7">
    <w:pPr>
      <w:pStyle w:val="lfej"/>
    </w:pPr>
    <w:r w:rsidRPr="003016F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73182"/>
    <w:multiLevelType w:val="hybridMultilevel"/>
    <w:tmpl w:val="494C3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7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9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50F0"/>
    <w:multiLevelType w:val="hybridMultilevel"/>
    <w:tmpl w:val="233E6C1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D4110"/>
    <w:multiLevelType w:val="hybridMultilevel"/>
    <w:tmpl w:val="3FECAF6A"/>
    <w:lvl w:ilvl="0" w:tplc="11568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444BE"/>
    <w:rsid w:val="0006072D"/>
    <w:rsid w:val="00070D37"/>
    <w:rsid w:val="000A0EB0"/>
    <w:rsid w:val="000D174F"/>
    <w:rsid w:val="000D5487"/>
    <w:rsid w:val="000D6F7F"/>
    <w:rsid w:val="000E6C1C"/>
    <w:rsid w:val="000F103B"/>
    <w:rsid w:val="00175929"/>
    <w:rsid w:val="001B1CF0"/>
    <w:rsid w:val="001E4B38"/>
    <w:rsid w:val="00200C1B"/>
    <w:rsid w:val="00232C3E"/>
    <w:rsid w:val="002A009F"/>
    <w:rsid w:val="002F731F"/>
    <w:rsid w:val="003016F7"/>
    <w:rsid w:val="003213CA"/>
    <w:rsid w:val="003657C9"/>
    <w:rsid w:val="003873EA"/>
    <w:rsid w:val="003B1317"/>
    <w:rsid w:val="003F79DF"/>
    <w:rsid w:val="00402D4A"/>
    <w:rsid w:val="00490CD3"/>
    <w:rsid w:val="004E451E"/>
    <w:rsid w:val="00510029"/>
    <w:rsid w:val="00510844"/>
    <w:rsid w:val="005137A2"/>
    <w:rsid w:val="0052687D"/>
    <w:rsid w:val="00526F9A"/>
    <w:rsid w:val="0055578D"/>
    <w:rsid w:val="005B32F0"/>
    <w:rsid w:val="005C5BF6"/>
    <w:rsid w:val="005E5246"/>
    <w:rsid w:val="005F73DB"/>
    <w:rsid w:val="00602494"/>
    <w:rsid w:val="00635C15"/>
    <w:rsid w:val="006501C1"/>
    <w:rsid w:val="00666886"/>
    <w:rsid w:val="00673792"/>
    <w:rsid w:val="006B5811"/>
    <w:rsid w:val="006D010C"/>
    <w:rsid w:val="007250D8"/>
    <w:rsid w:val="0072627E"/>
    <w:rsid w:val="00737003"/>
    <w:rsid w:val="0073718E"/>
    <w:rsid w:val="00773359"/>
    <w:rsid w:val="007F0058"/>
    <w:rsid w:val="008048C5"/>
    <w:rsid w:val="00810C4A"/>
    <w:rsid w:val="008619C8"/>
    <w:rsid w:val="00880E6D"/>
    <w:rsid w:val="00894E8A"/>
    <w:rsid w:val="008F1888"/>
    <w:rsid w:val="00907C08"/>
    <w:rsid w:val="00977E3E"/>
    <w:rsid w:val="009E3FD5"/>
    <w:rsid w:val="00A134C4"/>
    <w:rsid w:val="00A13E2B"/>
    <w:rsid w:val="00A9110C"/>
    <w:rsid w:val="00AC4C19"/>
    <w:rsid w:val="00B2199A"/>
    <w:rsid w:val="00B51E91"/>
    <w:rsid w:val="00BA33C8"/>
    <w:rsid w:val="00BB089D"/>
    <w:rsid w:val="00BB7F1D"/>
    <w:rsid w:val="00BC7742"/>
    <w:rsid w:val="00C030CC"/>
    <w:rsid w:val="00C5427F"/>
    <w:rsid w:val="00CB6072"/>
    <w:rsid w:val="00CF1BEE"/>
    <w:rsid w:val="00D00755"/>
    <w:rsid w:val="00D02B50"/>
    <w:rsid w:val="00DC5582"/>
    <w:rsid w:val="00DC7135"/>
    <w:rsid w:val="00E2366B"/>
    <w:rsid w:val="00E51999"/>
    <w:rsid w:val="00E60BE2"/>
    <w:rsid w:val="00E94E9D"/>
    <w:rsid w:val="00EA02AE"/>
    <w:rsid w:val="00EE4F79"/>
    <w:rsid w:val="00EF04CC"/>
    <w:rsid w:val="00EF2623"/>
    <w:rsid w:val="00F45E42"/>
    <w:rsid w:val="00FA2826"/>
    <w:rsid w:val="00FB59D6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457E-8994-475B-9137-17A40F1B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795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7</cp:revision>
  <dcterms:created xsi:type="dcterms:W3CDTF">2017-04-04T11:12:00Z</dcterms:created>
  <dcterms:modified xsi:type="dcterms:W3CDTF">2017-04-04T11:51:00Z</dcterms:modified>
</cp:coreProperties>
</file>