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4E" w:rsidRDefault="003A094E" w:rsidP="003A094E">
      <w:pPr>
        <w:pStyle w:val="Listaszerbekezds"/>
        <w:ind w:hanging="36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lang w:val="de-CH"/>
        </w:rPr>
      </w:pPr>
    </w:p>
    <w:p w:rsidR="008E2944" w:rsidRPr="003A094E" w:rsidRDefault="008E2944" w:rsidP="003A094E">
      <w:pPr>
        <w:pStyle w:val="Listaszerbekezds"/>
        <w:ind w:hanging="36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3A094E">
        <w:rPr>
          <w:rFonts w:asciiTheme="minorHAnsi" w:hAnsiTheme="minorHAnsi"/>
          <w:b/>
          <w:color w:val="365F91" w:themeColor="accent1" w:themeShade="BF"/>
          <w:sz w:val="32"/>
          <w:szCs w:val="32"/>
          <w:lang w:val="de-CH"/>
        </w:rPr>
        <w:t>Internes Aus- und Weiterbildungskonzept</w:t>
      </w:r>
      <w:r w:rsidR="003A094E" w:rsidRPr="003A094E">
        <w:rPr>
          <w:rFonts w:asciiTheme="minorHAnsi" w:hAnsiTheme="minorHAnsi"/>
          <w:b/>
          <w:color w:val="365F91" w:themeColor="accent1" w:themeShade="BF"/>
          <w:sz w:val="32"/>
          <w:szCs w:val="32"/>
          <w:lang w:val="de-CH"/>
        </w:rPr>
        <w:t xml:space="preserve"> - </w:t>
      </w:r>
      <w:r w:rsidRPr="003A094E">
        <w:rPr>
          <w:rFonts w:asciiTheme="minorHAnsi" w:hAnsiTheme="minorHAnsi"/>
          <w:b/>
          <w:color w:val="365F91" w:themeColor="accent1" w:themeShade="BF"/>
          <w:sz w:val="32"/>
          <w:szCs w:val="32"/>
        </w:rPr>
        <w:t>Die gestellten Qualitätsanforderungen gegenüber der Lehrkräfte der Institution</w:t>
      </w:r>
    </w:p>
    <w:p w:rsidR="008E2944" w:rsidRPr="003A094E" w:rsidRDefault="008E2944" w:rsidP="003A094E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</w:pPr>
    </w:p>
    <w:p w:rsidR="008E2944" w:rsidRPr="003A094E" w:rsidRDefault="008E2944" w:rsidP="003A094E">
      <w:pPr>
        <w:spacing w:after="80" w:line="240" w:lineRule="auto"/>
        <w:ind w:left="709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rückt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Berufserfahrung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die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Lernfähigkeiten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Gegensatz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Qualifikationen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Vordergrund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Erwartung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umfassende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Erfahrung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Bereich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von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geleiteten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Kurses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selbstverständlich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wird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grosse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Bedeutung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Anerkennung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akademischen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Leistung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beigemessen</w:t>
      </w:r>
      <w:proofErr w:type="spellEnd"/>
      <w:r w:rsidRPr="003A094E"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8E2944" w:rsidRPr="003A094E" w:rsidRDefault="008E2944" w:rsidP="003A094E">
      <w:pPr>
        <w:spacing w:after="80" w:line="240" w:lineRule="auto"/>
        <w:ind w:left="709"/>
        <w:jc w:val="both"/>
        <w:rPr>
          <w:rFonts w:asciiTheme="minorHAnsi" w:eastAsia="Arial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8E2944" w:rsidRPr="003A094E" w:rsidRDefault="008E2944" w:rsidP="003A094E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Anbieten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hochrangigen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Bildung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deshalb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wird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grosser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sorgfältige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Auswahl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kontinuierliche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Weiterbildung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gelegt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</w:p>
    <w:p w:rsidR="008E2944" w:rsidRPr="003A094E" w:rsidRDefault="008E2944" w:rsidP="003A094E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8E2944" w:rsidRPr="003A094E" w:rsidRDefault="008E2944" w:rsidP="003A094E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Anstellung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Beförderung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Lehrenden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Arbeitnehmer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verbundene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Verfahren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erzielt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Transparenz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Erfüllung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Anspruches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qualifizierten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Bildung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allen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Beförderung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Engagement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individuelle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Verantwortlichkeit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sowie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bedeutende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Kooperationsbereitschaft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notwendig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Von den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wird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erwartet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Fachbereichen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erfahrene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Professioneller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sowohl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bedeutenden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wissenschaftlichen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Hintergrundes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Berufsaufträge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Alle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Ernennungen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Beförderungen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Ausbildungsbezeichnungen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werden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durch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den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Präsidenten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erteilt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8E2944" w:rsidRPr="003A094E" w:rsidRDefault="008E2944" w:rsidP="003A094E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8E2944" w:rsidRPr="003A094E" w:rsidRDefault="008E2944" w:rsidP="003A094E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Institution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legt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grossen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kontinuierliche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Weiterbildung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damit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aktuell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umfassend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informiert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motiviert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Besprechungen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wobei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individuellen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Leistungen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bewertet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werden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erfolgen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zweimal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jährlich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gegebenen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Bewertungsperiode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Für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Einberufen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Ableitung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Besprechungen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Leiter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Lehrstühle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verantwortlich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jährlichen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zwischenjährlichen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Bewertungen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Förderung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Richtlinie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zuem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Erreichen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besserer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Ergebnise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andererseits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Teilnehmenden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festsetzen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erörtern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Schulordnung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nächsten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Jahres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Die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Besprechung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Gespräch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Aufträge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Feststellung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von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Zielen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berufliche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Entwicklung</w:t>
      </w:r>
      <w:proofErr w:type="spellEnd"/>
      <w:r w:rsidRPr="003A094E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sectPr w:rsidR="008E2944" w:rsidRPr="003A094E" w:rsidSect="003A09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24" w:rsidRDefault="00966424" w:rsidP="00510029">
      <w:pPr>
        <w:spacing w:line="240" w:lineRule="auto"/>
      </w:pPr>
      <w:r>
        <w:separator/>
      </w:r>
    </w:p>
  </w:endnote>
  <w:endnote w:type="continuationSeparator" w:id="0">
    <w:p w:rsidR="00966424" w:rsidRDefault="00966424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24" w:rsidRDefault="00966424" w:rsidP="00510029">
      <w:pPr>
        <w:spacing w:line="240" w:lineRule="auto"/>
      </w:pPr>
      <w:r>
        <w:separator/>
      </w:r>
    </w:p>
  </w:footnote>
  <w:footnote w:type="continuationSeparator" w:id="0">
    <w:p w:rsidR="00966424" w:rsidRDefault="00966424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A09F6">
    <w:pPr>
      <w:pStyle w:val="lfej"/>
    </w:pPr>
    <w:r w:rsidRPr="009A09F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9A09F6" w:rsidRPr="009A09F6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A09F6">
    <w:pPr>
      <w:pStyle w:val="lfej"/>
    </w:pPr>
    <w:r w:rsidRPr="009A09F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050F0"/>
    <w:multiLevelType w:val="hybridMultilevel"/>
    <w:tmpl w:val="233E6C1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17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174F"/>
    <w:rsid w:val="000D5487"/>
    <w:rsid w:val="000D6F7F"/>
    <w:rsid w:val="000E6C1C"/>
    <w:rsid w:val="000F103B"/>
    <w:rsid w:val="00175929"/>
    <w:rsid w:val="001B1CF0"/>
    <w:rsid w:val="001E41F6"/>
    <w:rsid w:val="001E4B38"/>
    <w:rsid w:val="00200C1B"/>
    <w:rsid w:val="002A009F"/>
    <w:rsid w:val="002F731F"/>
    <w:rsid w:val="003213CA"/>
    <w:rsid w:val="003657C9"/>
    <w:rsid w:val="003873EA"/>
    <w:rsid w:val="003A094E"/>
    <w:rsid w:val="003B1317"/>
    <w:rsid w:val="003E4F42"/>
    <w:rsid w:val="003F79DF"/>
    <w:rsid w:val="00402D4A"/>
    <w:rsid w:val="00490CD3"/>
    <w:rsid w:val="004E451E"/>
    <w:rsid w:val="00510029"/>
    <w:rsid w:val="00510844"/>
    <w:rsid w:val="0052687D"/>
    <w:rsid w:val="00526F9A"/>
    <w:rsid w:val="0056266B"/>
    <w:rsid w:val="005B32F0"/>
    <w:rsid w:val="005C5BF6"/>
    <w:rsid w:val="005E5246"/>
    <w:rsid w:val="005F73DB"/>
    <w:rsid w:val="00602494"/>
    <w:rsid w:val="00635C15"/>
    <w:rsid w:val="00642700"/>
    <w:rsid w:val="006501C1"/>
    <w:rsid w:val="00666886"/>
    <w:rsid w:val="00673792"/>
    <w:rsid w:val="006B5811"/>
    <w:rsid w:val="006C39E6"/>
    <w:rsid w:val="006D010C"/>
    <w:rsid w:val="007250D8"/>
    <w:rsid w:val="0072627E"/>
    <w:rsid w:val="00737003"/>
    <w:rsid w:val="0073718E"/>
    <w:rsid w:val="00773359"/>
    <w:rsid w:val="007F0058"/>
    <w:rsid w:val="008048C5"/>
    <w:rsid w:val="00810C4A"/>
    <w:rsid w:val="008619C8"/>
    <w:rsid w:val="00880E6D"/>
    <w:rsid w:val="00894E8A"/>
    <w:rsid w:val="008E2944"/>
    <w:rsid w:val="008F1888"/>
    <w:rsid w:val="00966424"/>
    <w:rsid w:val="00977E3E"/>
    <w:rsid w:val="009A09F6"/>
    <w:rsid w:val="009E3346"/>
    <w:rsid w:val="009E3FD5"/>
    <w:rsid w:val="00A134C4"/>
    <w:rsid w:val="00A13E2B"/>
    <w:rsid w:val="00A9110C"/>
    <w:rsid w:val="00AD3D91"/>
    <w:rsid w:val="00B2199A"/>
    <w:rsid w:val="00B51E91"/>
    <w:rsid w:val="00BA33C8"/>
    <w:rsid w:val="00BB089D"/>
    <w:rsid w:val="00BB7F1D"/>
    <w:rsid w:val="00BC7742"/>
    <w:rsid w:val="00C030CC"/>
    <w:rsid w:val="00C5427F"/>
    <w:rsid w:val="00CB6072"/>
    <w:rsid w:val="00CF1BEE"/>
    <w:rsid w:val="00D00755"/>
    <w:rsid w:val="00D02B50"/>
    <w:rsid w:val="00DC5582"/>
    <w:rsid w:val="00DC7135"/>
    <w:rsid w:val="00E2366B"/>
    <w:rsid w:val="00E51999"/>
    <w:rsid w:val="00E60BE2"/>
    <w:rsid w:val="00E94E9D"/>
    <w:rsid w:val="00EA02AE"/>
    <w:rsid w:val="00EF04CC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F4F4-0C10-409D-9692-B214CF05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5</cp:revision>
  <dcterms:created xsi:type="dcterms:W3CDTF">2017-04-04T10:43:00Z</dcterms:created>
  <dcterms:modified xsi:type="dcterms:W3CDTF">2017-04-04T11:45:00Z</dcterms:modified>
</cp:coreProperties>
</file>