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39" w:rsidRPr="00FE52FA" w:rsidRDefault="00553039" w:rsidP="00FE52FA">
      <w:pPr>
        <w:pStyle w:val="Default"/>
        <w:jc w:val="both"/>
        <w:rPr>
          <w:sz w:val="28"/>
          <w:szCs w:val="28"/>
        </w:rPr>
      </w:pPr>
      <w:r w:rsidRPr="00FE52FA">
        <w:rPr>
          <w:b/>
          <w:bCs/>
          <w:sz w:val="28"/>
          <w:szCs w:val="28"/>
        </w:rPr>
        <w:t xml:space="preserve">Accounting </w:t>
      </w:r>
    </w:p>
    <w:p w:rsidR="00EF4AE1" w:rsidRPr="00FE52FA" w:rsidRDefault="00EF4AE1" w:rsidP="00FE52FA">
      <w:pPr>
        <w:jc w:val="both"/>
        <w:rPr>
          <w:sz w:val="24"/>
          <w:szCs w:val="24"/>
        </w:rPr>
      </w:pPr>
    </w:p>
    <w:p w:rsidR="00FE52FA" w:rsidRPr="00FE52FA" w:rsidRDefault="00FE52FA" w:rsidP="00FE52FA">
      <w:pPr>
        <w:pStyle w:val="Default"/>
        <w:jc w:val="both"/>
      </w:pPr>
      <w:r w:rsidRPr="00FE52FA">
        <w:t xml:space="preserve">The unit </w:t>
      </w:r>
      <w:proofErr w:type="spellStart"/>
      <w:r w:rsidRPr="00FE52FA">
        <w:t>will</w:t>
      </w:r>
      <w:proofErr w:type="spellEnd"/>
      <w:r w:rsidRPr="00FE52FA">
        <w:t xml:space="preserve"> </w:t>
      </w:r>
      <w:proofErr w:type="spellStart"/>
      <w:r w:rsidRPr="00FE52FA">
        <w:t>enable</w:t>
      </w:r>
      <w:proofErr w:type="spellEnd"/>
      <w:r w:rsidRPr="00FE52FA">
        <w:t xml:space="preserve"> </w:t>
      </w:r>
      <w:proofErr w:type="spellStart"/>
      <w:r w:rsidRPr="00FE52FA">
        <w:t>learners</w:t>
      </w:r>
      <w:proofErr w:type="spellEnd"/>
      <w:r w:rsidRPr="00FE52FA">
        <w:t xml:space="preserve"> </w:t>
      </w:r>
      <w:proofErr w:type="spellStart"/>
      <w:r w:rsidRPr="00FE52FA">
        <w:t>to</w:t>
      </w:r>
      <w:proofErr w:type="spellEnd"/>
      <w:r w:rsidRPr="00FE52FA">
        <w:t xml:space="preserve"> </w:t>
      </w:r>
      <w:proofErr w:type="spellStart"/>
      <w:r w:rsidRPr="00FE52FA">
        <w:t>develop</w:t>
      </w:r>
      <w:proofErr w:type="spellEnd"/>
      <w:r w:rsidRPr="00FE52FA">
        <w:t xml:space="preserve"> </w:t>
      </w:r>
      <w:proofErr w:type="spellStart"/>
      <w:r w:rsidRPr="00FE52FA">
        <w:t>knowledge</w:t>
      </w:r>
      <w:proofErr w:type="spellEnd"/>
      <w:r w:rsidRPr="00FE52FA">
        <w:t xml:space="preserve">, </w:t>
      </w:r>
      <w:proofErr w:type="spellStart"/>
      <w:r w:rsidRPr="00FE52FA">
        <w:t>understanding</w:t>
      </w:r>
      <w:proofErr w:type="spellEnd"/>
      <w:r w:rsidRPr="00FE52FA">
        <w:t xml:space="preserve"> and </w:t>
      </w:r>
      <w:proofErr w:type="spellStart"/>
      <w:r w:rsidRPr="00FE52FA">
        <w:t>skills</w:t>
      </w:r>
      <w:proofErr w:type="spellEnd"/>
      <w:r w:rsidRPr="00FE52FA">
        <w:t xml:space="preserve"> </w:t>
      </w:r>
      <w:proofErr w:type="spellStart"/>
      <w:r w:rsidRPr="00FE52FA">
        <w:t>in</w:t>
      </w:r>
      <w:proofErr w:type="spellEnd"/>
      <w:r w:rsidRPr="00FE52FA">
        <w:t xml:space="preserve"> </w:t>
      </w:r>
      <w:proofErr w:type="spellStart"/>
      <w:r w:rsidRPr="00FE52FA">
        <w:t>financial</w:t>
      </w:r>
      <w:proofErr w:type="spellEnd"/>
      <w:r w:rsidRPr="00FE52FA">
        <w:t xml:space="preserve"> and management accounting </w:t>
      </w:r>
    </w:p>
    <w:p w:rsidR="00553039" w:rsidRPr="00FE52FA" w:rsidRDefault="00553039" w:rsidP="00FE52FA">
      <w:pPr>
        <w:jc w:val="both"/>
        <w:rPr>
          <w:sz w:val="24"/>
          <w:szCs w:val="24"/>
        </w:rPr>
      </w:pPr>
    </w:p>
    <w:p w:rsidR="00FE52FA" w:rsidRPr="00FE52FA" w:rsidRDefault="00FE52FA" w:rsidP="00FE52FA">
      <w:pPr>
        <w:pStyle w:val="Default"/>
        <w:jc w:val="both"/>
      </w:pPr>
      <w:proofErr w:type="spellStart"/>
      <w:r w:rsidRPr="00FE52FA">
        <w:rPr>
          <w:b/>
          <w:bCs/>
        </w:rPr>
        <w:t>Indicative</w:t>
      </w:r>
      <w:proofErr w:type="spellEnd"/>
      <w:r w:rsidRPr="00FE52FA">
        <w:rPr>
          <w:b/>
          <w:bCs/>
        </w:rPr>
        <w:t xml:space="preserve"> </w:t>
      </w:r>
      <w:proofErr w:type="spellStart"/>
      <w:r w:rsidRPr="00FE52FA">
        <w:rPr>
          <w:b/>
          <w:bCs/>
        </w:rPr>
        <w:t>Content</w:t>
      </w:r>
      <w:proofErr w:type="spellEnd"/>
      <w:r w:rsidRPr="00FE52FA">
        <w:rPr>
          <w:b/>
          <w:bCs/>
        </w:rPr>
        <w:t xml:space="preserve"> </w:t>
      </w:r>
    </w:p>
    <w:p w:rsidR="00FE52FA" w:rsidRDefault="00FE52FA" w:rsidP="00FE52FA">
      <w:pPr>
        <w:pStyle w:val="Default"/>
        <w:jc w:val="both"/>
        <w:rPr>
          <w:b/>
          <w:bCs/>
        </w:rPr>
      </w:pPr>
    </w:p>
    <w:p w:rsidR="00FE52FA" w:rsidRPr="00FE52FA" w:rsidRDefault="00FE52FA" w:rsidP="00FE52FA">
      <w:pPr>
        <w:pStyle w:val="Default"/>
        <w:jc w:val="both"/>
      </w:pPr>
      <w:r w:rsidRPr="00FE52FA">
        <w:rPr>
          <w:b/>
          <w:bCs/>
        </w:rPr>
        <w:t xml:space="preserve">1. </w:t>
      </w:r>
      <w:proofErr w:type="spellStart"/>
      <w:r w:rsidRPr="00FE52FA">
        <w:rPr>
          <w:b/>
          <w:bCs/>
        </w:rPr>
        <w:t>Understand</w:t>
      </w:r>
      <w:proofErr w:type="spellEnd"/>
      <w:r w:rsidRPr="00FE52FA">
        <w:rPr>
          <w:b/>
          <w:bCs/>
        </w:rPr>
        <w:t xml:space="preserve"> the </w:t>
      </w:r>
      <w:proofErr w:type="spellStart"/>
      <w:r w:rsidRPr="00FE52FA">
        <w:rPr>
          <w:b/>
          <w:bCs/>
        </w:rPr>
        <w:t>principles</w:t>
      </w:r>
      <w:proofErr w:type="spellEnd"/>
      <w:r w:rsidRPr="00FE52FA">
        <w:rPr>
          <w:b/>
          <w:bCs/>
        </w:rPr>
        <w:t xml:space="preserve"> of </w:t>
      </w:r>
      <w:proofErr w:type="spellStart"/>
      <w:r w:rsidRPr="00FE52FA">
        <w:rPr>
          <w:b/>
          <w:bCs/>
        </w:rPr>
        <w:t>financial</w:t>
      </w:r>
      <w:proofErr w:type="spellEnd"/>
      <w:r w:rsidRPr="00FE52FA">
        <w:rPr>
          <w:b/>
          <w:bCs/>
        </w:rPr>
        <w:t xml:space="preserve"> accounting and </w:t>
      </w:r>
      <w:proofErr w:type="spellStart"/>
      <w:r w:rsidRPr="00FE52FA">
        <w:rPr>
          <w:b/>
          <w:bCs/>
        </w:rPr>
        <w:t>reporting</w:t>
      </w:r>
      <w:proofErr w:type="spellEnd"/>
      <w:r w:rsidRPr="00FE52FA">
        <w:rPr>
          <w:b/>
          <w:bCs/>
        </w:rPr>
        <w:t xml:space="preserve"> </w:t>
      </w:r>
    </w:p>
    <w:p w:rsidR="00FE52FA" w:rsidRPr="00FE52FA" w:rsidRDefault="00FE52FA" w:rsidP="00FE52FA">
      <w:pPr>
        <w:pStyle w:val="Default"/>
        <w:jc w:val="both"/>
      </w:pPr>
    </w:p>
    <w:p w:rsidR="00FE52FA" w:rsidRPr="00FE52FA" w:rsidRDefault="00FE52FA" w:rsidP="00FE52FA">
      <w:pPr>
        <w:pStyle w:val="Default"/>
        <w:spacing w:after="23"/>
        <w:jc w:val="both"/>
      </w:pPr>
      <w:r w:rsidRPr="00FE52FA">
        <w:t xml:space="preserve">Accounting </w:t>
      </w:r>
      <w:proofErr w:type="spellStart"/>
      <w:r w:rsidRPr="00FE52FA">
        <w:t>Concepts</w:t>
      </w:r>
      <w:proofErr w:type="spellEnd"/>
      <w:r w:rsidRPr="00FE52FA">
        <w:t xml:space="preserve"> and </w:t>
      </w:r>
      <w:proofErr w:type="spellStart"/>
      <w:r w:rsidRPr="00FE52FA">
        <w:t>Standards</w:t>
      </w:r>
      <w:proofErr w:type="spellEnd"/>
      <w:r w:rsidRPr="00FE52FA">
        <w:t xml:space="preserve"> </w:t>
      </w:r>
    </w:p>
    <w:p w:rsidR="00FE52FA" w:rsidRPr="00FE52FA" w:rsidRDefault="00FE52FA" w:rsidP="00FE52FA">
      <w:pPr>
        <w:pStyle w:val="Default"/>
        <w:numPr>
          <w:ilvl w:val="0"/>
          <w:numId w:val="41"/>
        </w:numPr>
        <w:spacing w:after="23"/>
        <w:jc w:val="both"/>
      </w:pPr>
      <w:r w:rsidRPr="00FE52FA">
        <w:t xml:space="preserve">o </w:t>
      </w:r>
      <w:proofErr w:type="spellStart"/>
      <w:r w:rsidRPr="00FE52FA">
        <w:t>Fundamental</w:t>
      </w:r>
      <w:proofErr w:type="spellEnd"/>
      <w:r w:rsidRPr="00FE52FA">
        <w:t xml:space="preserve"> Accounting </w:t>
      </w:r>
      <w:proofErr w:type="spellStart"/>
      <w:r w:rsidRPr="00FE52FA">
        <w:t>Concepts</w:t>
      </w:r>
      <w:proofErr w:type="spellEnd"/>
      <w:r w:rsidRPr="00FE52FA">
        <w:t xml:space="preserve"> (</w:t>
      </w:r>
      <w:proofErr w:type="spellStart"/>
      <w:r w:rsidRPr="00FE52FA">
        <w:t>accruals</w:t>
      </w:r>
      <w:proofErr w:type="spellEnd"/>
      <w:r w:rsidRPr="00FE52FA">
        <w:t xml:space="preserve">, </w:t>
      </w:r>
      <w:proofErr w:type="spellStart"/>
      <w:r w:rsidRPr="00FE52FA">
        <w:t>consistency</w:t>
      </w:r>
      <w:proofErr w:type="spellEnd"/>
      <w:r w:rsidRPr="00FE52FA">
        <w:t xml:space="preserve">, </w:t>
      </w:r>
      <w:proofErr w:type="spellStart"/>
      <w:r w:rsidRPr="00FE52FA">
        <w:t>going</w:t>
      </w:r>
      <w:proofErr w:type="spellEnd"/>
      <w:r w:rsidRPr="00FE52FA">
        <w:t xml:space="preserve"> </w:t>
      </w:r>
      <w:proofErr w:type="spellStart"/>
      <w:r w:rsidRPr="00FE52FA">
        <w:t>concern</w:t>
      </w:r>
      <w:proofErr w:type="spellEnd"/>
      <w:r w:rsidRPr="00FE52FA">
        <w:t xml:space="preserve"> and </w:t>
      </w:r>
      <w:proofErr w:type="spellStart"/>
      <w:r w:rsidRPr="00FE52FA">
        <w:t>prudence</w:t>
      </w:r>
      <w:proofErr w:type="spellEnd"/>
      <w:r w:rsidRPr="00FE52FA">
        <w:t xml:space="preserve">) </w:t>
      </w:r>
    </w:p>
    <w:p w:rsidR="00FE52FA" w:rsidRPr="00FE52FA" w:rsidRDefault="00FE52FA" w:rsidP="00FE52FA">
      <w:pPr>
        <w:pStyle w:val="Default"/>
        <w:numPr>
          <w:ilvl w:val="0"/>
          <w:numId w:val="41"/>
        </w:numPr>
        <w:jc w:val="both"/>
      </w:pPr>
      <w:r w:rsidRPr="00FE52FA">
        <w:t xml:space="preserve">o </w:t>
      </w:r>
      <w:proofErr w:type="spellStart"/>
      <w:r w:rsidRPr="00FE52FA">
        <w:t>Generally</w:t>
      </w:r>
      <w:proofErr w:type="spellEnd"/>
      <w:r w:rsidRPr="00FE52FA">
        <w:t xml:space="preserve"> </w:t>
      </w:r>
      <w:proofErr w:type="spellStart"/>
      <w:r w:rsidRPr="00FE52FA">
        <w:t>Accepted</w:t>
      </w:r>
      <w:proofErr w:type="spellEnd"/>
      <w:r w:rsidRPr="00FE52FA">
        <w:t xml:space="preserve"> Accounting </w:t>
      </w:r>
      <w:proofErr w:type="spellStart"/>
      <w:r w:rsidRPr="00FE52FA">
        <w:t>Principles</w:t>
      </w:r>
      <w:proofErr w:type="spellEnd"/>
      <w:r w:rsidRPr="00FE52FA">
        <w:t xml:space="preserve"> (</w:t>
      </w:r>
      <w:proofErr w:type="spellStart"/>
      <w:r w:rsidRPr="00FE52FA">
        <w:t>GAAP’s</w:t>
      </w:r>
      <w:proofErr w:type="spellEnd"/>
      <w:r w:rsidRPr="00FE52FA">
        <w:t>) (</w:t>
      </w:r>
      <w:proofErr w:type="spellStart"/>
      <w:r w:rsidRPr="00FE52FA">
        <w:t>e.g</w:t>
      </w:r>
      <w:proofErr w:type="spellEnd"/>
      <w:r w:rsidRPr="00FE52FA">
        <w:t xml:space="preserve">. </w:t>
      </w:r>
      <w:proofErr w:type="spellStart"/>
      <w:r w:rsidRPr="00FE52FA">
        <w:t>money</w:t>
      </w:r>
      <w:proofErr w:type="spellEnd"/>
      <w:r w:rsidRPr="00FE52FA">
        <w:t xml:space="preserve"> </w:t>
      </w:r>
      <w:proofErr w:type="spellStart"/>
      <w:r w:rsidRPr="00FE52FA">
        <w:t>measurement</w:t>
      </w:r>
      <w:proofErr w:type="spellEnd"/>
      <w:r w:rsidRPr="00FE52FA">
        <w:t xml:space="preserve">, </w:t>
      </w:r>
      <w:proofErr w:type="spellStart"/>
      <w:r w:rsidRPr="00FE52FA">
        <w:t>historical</w:t>
      </w:r>
      <w:proofErr w:type="spellEnd"/>
      <w:r w:rsidRPr="00FE52FA">
        <w:t xml:space="preserve"> </w:t>
      </w:r>
      <w:proofErr w:type="spellStart"/>
      <w:r w:rsidRPr="00FE52FA">
        <w:t>cost</w:t>
      </w:r>
      <w:proofErr w:type="spellEnd"/>
      <w:r w:rsidRPr="00FE52FA">
        <w:t xml:space="preserve">, </w:t>
      </w:r>
      <w:proofErr w:type="spellStart"/>
      <w:r w:rsidRPr="00FE52FA">
        <w:t>materiality</w:t>
      </w:r>
      <w:proofErr w:type="spellEnd"/>
      <w:r w:rsidRPr="00FE52FA">
        <w:t xml:space="preserve"> etc.) </w:t>
      </w:r>
    </w:p>
    <w:p w:rsidR="00FE52FA" w:rsidRPr="00FE52FA" w:rsidRDefault="00FE52FA" w:rsidP="00FE52FA">
      <w:pPr>
        <w:pStyle w:val="Default"/>
        <w:jc w:val="both"/>
      </w:pPr>
    </w:p>
    <w:p w:rsidR="00FE52FA" w:rsidRPr="00FE52FA" w:rsidRDefault="00FE52FA" w:rsidP="00FE52FA">
      <w:pPr>
        <w:pStyle w:val="Default"/>
        <w:jc w:val="both"/>
      </w:pPr>
      <w:r w:rsidRPr="00FE52FA">
        <w:t xml:space="preserve">International Accounting </w:t>
      </w:r>
      <w:proofErr w:type="spellStart"/>
      <w:r w:rsidRPr="00FE52FA">
        <w:t>Standards</w:t>
      </w:r>
      <w:proofErr w:type="spellEnd"/>
      <w:r w:rsidRPr="00FE52FA">
        <w:t xml:space="preserve"> (IAS) </w:t>
      </w:r>
    </w:p>
    <w:p w:rsidR="00FE52FA" w:rsidRPr="00FE52FA" w:rsidRDefault="00FE52FA" w:rsidP="00FE52FA">
      <w:pPr>
        <w:pStyle w:val="Default"/>
        <w:jc w:val="both"/>
      </w:pPr>
    </w:p>
    <w:p w:rsidR="00FE52FA" w:rsidRPr="00FE52FA" w:rsidRDefault="00FE52FA" w:rsidP="00FE52FA">
      <w:pPr>
        <w:pStyle w:val="Default"/>
        <w:jc w:val="both"/>
      </w:pPr>
      <w:proofErr w:type="spellStart"/>
      <w:r w:rsidRPr="00FE52FA">
        <w:t>Elements</w:t>
      </w:r>
      <w:proofErr w:type="spellEnd"/>
      <w:r w:rsidRPr="00FE52FA">
        <w:t xml:space="preserve"> of Public Limited </w:t>
      </w:r>
      <w:proofErr w:type="spellStart"/>
      <w:r w:rsidRPr="00FE52FA">
        <w:t>Companies</w:t>
      </w:r>
      <w:proofErr w:type="spellEnd"/>
      <w:r w:rsidRPr="00FE52FA">
        <w:t xml:space="preserve">’ </w:t>
      </w:r>
      <w:proofErr w:type="spellStart"/>
      <w:r w:rsidRPr="00FE52FA">
        <w:t>annual</w:t>
      </w:r>
      <w:proofErr w:type="spellEnd"/>
      <w:r w:rsidRPr="00FE52FA">
        <w:t xml:space="preserve"> </w:t>
      </w:r>
      <w:proofErr w:type="spellStart"/>
      <w:r w:rsidRPr="00FE52FA">
        <w:t>report</w:t>
      </w:r>
      <w:proofErr w:type="spellEnd"/>
      <w:r w:rsidRPr="00FE52FA">
        <w:t xml:space="preserve">: </w:t>
      </w:r>
      <w:proofErr w:type="spellStart"/>
      <w:r w:rsidRPr="00FE52FA">
        <w:t>Corporate</w:t>
      </w:r>
      <w:proofErr w:type="spellEnd"/>
      <w:r w:rsidRPr="00FE52FA">
        <w:t xml:space="preserve"> </w:t>
      </w:r>
      <w:proofErr w:type="spellStart"/>
      <w:r w:rsidRPr="00FE52FA">
        <w:t>information</w:t>
      </w:r>
      <w:proofErr w:type="spellEnd"/>
      <w:r w:rsidRPr="00FE52FA">
        <w:t xml:space="preserve">, Accounting </w:t>
      </w:r>
      <w:proofErr w:type="spellStart"/>
      <w:r w:rsidRPr="00FE52FA">
        <w:t>policies</w:t>
      </w:r>
      <w:proofErr w:type="spellEnd"/>
      <w:r w:rsidRPr="00FE52FA">
        <w:t xml:space="preserve">, </w:t>
      </w:r>
      <w:proofErr w:type="spellStart"/>
      <w:r w:rsidRPr="00FE52FA">
        <w:t>Income</w:t>
      </w:r>
      <w:proofErr w:type="spellEnd"/>
      <w:r w:rsidRPr="00FE52FA">
        <w:t xml:space="preserve"> </w:t>
      </w:r>
      <w:proofErr w:type="spellStart"/>
      <w:r w:rsidRPr="00FE52FA">
        <w:t>Statement</w:t>
      </w:r>
      <w:proofErr w:type="spellEnd"/>
      <w:r w:rsidRPr="00FE52FA">
        <w:t xml:space="preserve">, </w:t>
      </w:r>
      <w:proofErr w:type="spellStart"/>
      <w:r w:rsidRPr="00FE52FA">
        <w:t>Statement</w:t>
      </w:r>
      <w:proofErr w:type="spellEnd"/>
      <w:r w:rsidRPr="00FE52FA">
        <w:t xml:space="preserve"> of Financial </w:t>
      </w:r>
      <w:proofErr w:type="spellStart"/>
      <w:r w:rsidRPr="00FE52FA">
        <w:t>Position</w:t>
      </w:r>
      <w:proofErr w:type="spellEnd"/>
      <w:r w:rsidRPr="00FE52FA">
        <w:t xml:space="preserve">, </w:t>
      </w:r>
      <w:proofErr w:type="spellStart"/>
      <w:r w:rsidRPr="00FE52FA">
        <w:t>Statement</w:t>
      </w:r>
      <w:proofErr w:type="spellEnd"/>
      <w:r w:rsidRPr="00FE52FA">
        <w:t xml:space="preserve"> of Cash </w:t>
      </w:r>
      <w:proofErr w:type="spellStart"/>
      <w:r w:rsidRPr="00FE52FA">
        <w:t>Flows</w:t>
      </w:r>
      <w:proofErr w:type="spellEnd"/>
      <w:r w:rsidRPr="00FE52FA">
        <w:t xml:space="preserve">, </w:t>
      </w:r>
      <w:proofErr w:type="spellStart"/>
      <w:r w:rsidRPr="00FE52FA">
        <w:t>Notes</w:t>
      </w:r>
      <w:proofErr w:type="spellEnd"/>
      <w:r w:rsidRPr="00FE52FA">
        <w:t xml:space="preserve"> </w:t>
      </w:r>
      <w:proofErr w:type="spellStart"/>
      <w:r w:rsidRPr="00FE52FA">
        <w:t>to</w:t>
      </w:r>
      <w:proofErr w:type="spellEnd"/>
      <w:r w:rsidRPr="00FE52FA">
        <w:t xml:space="preserve"> the </w:t>
      </w:r>
      <w:proofErr w:type="spellStart"/>
      <w:r w:rsidRPr="00FE52FA">
        <w:t>financial</w:t>
      </w:r>
      <w:proofErr w:type="spellEnd"/>
      <w:r w:rsidRPr="00FE52FA">
        <w:t xml:space="preserve"> </w:t>
      </w:r>
      <w:proofErr w:type="spellStart"/>
      <w:r w:rsidRPr="00FE52FA">
        <w:t>statements</w:t>
      </w:r>
      <w:proofErr w:type="spellEnd"/>
      <w:r w:rsidRPr="00FE52FA">
        <w:t xml:space="preserve">, </w:t>
      </w:r>
      <w:proofErr w:type="spellStart"/>
      <w:r w:rsidRPr="00FE52FA">
        <w:t>Chairperson’s</w:t>
      </w:r>
      <w:proofErr w:type="spellEnd"/>
      <w:r w:rsidRPr="00FE52FA">
        <w:t xml:space="preserve"> </w:t>
      </w:r>
      <w:proofErr w:type="spellStart"/>
      <w:r w:rsidRPr="00FE52FA">
        <w:t>report</w:t>
      </w:r>
      <w:proofErr w:type="spellEnd"/>
      <w:r w:rsidRPr="00FE52FA">
        <w:t xml:space="preserve">, </w:t>
      </w:r>
      <w:proofErr w:type="spellStart"/>
      <w:r w:rsidRPr="00FE52FA">
        <w:t>Director’s</w:t>
      </w:r>
      <w:proofErr w:type="spellEnd"/>
      <w:r w:rsidRPr="00FE52FA">
        <w:t xml:space="preserve"> </w:t>
      </w:r>
      <w:proofErr w:type="spellStart"/>
      <w:r w:rsidRPr="00FE52FA">
        <w:t>report</w:t>
      </w:r>
      <w:proofErr w:type="spellEnd"/>
      <w:r w:rsidRPr="00FE52FA">
        <w:t xml:space="preserve">, </w:t>
      </w:r>
      <w:proofErr w:type="spellStart"/>
      <w:r w:rsidRPr="00FE52FA">
        <w:t>Auditor’s</w:t>
      </w:r>
      <w:proofErr w:type="spellEnd"/>
      <w:r w:rsidRPr="00FE52FA">
        <w:t xml:space="preserve"> </w:t>
      </w:r>
      <w:proofErr w:type="spellStart"/>
      <w:r w:rsidRPr="00FE52FA">
        <w:t>report</w:t>
      </w:r>
      <w:proofErr w:type="spellEnd"/>
      <w:r w:rsidRPr="00FE52FA">
        <w:t xml:space="preserve">. </w:t>
      </w: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E52FA" w:rsidRPr="00FE52FA" w:rsidRDefault="00FE52FA" w:rsidP="00FE52FA">
      <w:pPr>
        <w:autoSpaceDE w:val="0"/>
        <w:autoSpaceDN w:val="0"/>
        <w:adjustRightInd w:val="0"/>
        <w:spacing w:after="25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Roles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responsibilities of directors and auditors with regard to published reports. i.e. </w:t>
      </w:r>
    </w:p>
    <w:p w:rsidR="00FE52FA" w:rsidRPr="00FE52FA" w:rsidRDefault="00FE52FA" w:rsidP="00FE52FA">
      <w:pPr>
        <w:numPr>
          <w:ilvl w:val="0"/>
          <w:numId w:val="44"/>
        </w:numPr>
        <w:autoSpaceDE w:val="0"/>
        <w:autoSpaceDN w:val="0"/>
        <w:adjustRightInd w:val="0"/>
        <w:spacing w:after="25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o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Directors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are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required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select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suitable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accounting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policies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apply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them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consistently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make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judgements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estimates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that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are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reasonable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prudent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state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that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financial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statements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comply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with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IFRS’s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appropriate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Accounting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Standards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prepare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financial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statements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the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going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concern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basis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o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Auditors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are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required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ensure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financial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information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: is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relevant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shows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all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the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transactions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the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financial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year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is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reliable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does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not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include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errors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represents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true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fair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view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the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company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helps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shareholders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make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important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financial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decisions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about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the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company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is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comparable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with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other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companies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2. Be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able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apply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the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principles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financial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accounting </w:t>
      </w: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E52FA" w:rsidRPr="00FE52FA" w:rsidRDefault="00FE52FA" w:rsidP="00FE52FA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Business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: Fixed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Indirect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Direct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Semi-variable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Stepped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Total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Unit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Marginal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E52FA" w:rsidRPr="00FE52FA" w:rsidRDefault="00FE52FA" w:rsidP="00FE52FA">
      <w:pPr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Pricing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Methods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Cost-plus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pricing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Discounting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Competitive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pricing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E52FA" w:rsidRPr="00FE52FA" w:rsidRDefault="00FE52FA" w:rsidP="00FE52FA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Break-even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including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Break-even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formulae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Contribution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per unit, Total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contribution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Margin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safety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Contribution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sales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ratio, Profit /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loss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Break-even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charts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Contribution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/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Sales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(profit/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volume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)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charts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E52FA" w:rsidRPr="00FE52FA" w:rsidRDefault="00FE52FA" w:rsidP="00FE52FA">
      <w:pPr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Budgeting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Types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budgets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Purposes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budgeting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Preparation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revision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budgets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Calculation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variances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evaluation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variance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results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</w:p>
    <w:p w:rsid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lastRenderedPageBreak/>
        <w:t xml:space="preserve">3. Be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able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apply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management accounting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principles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>procedures</w:t>
      </w:r>
      <w:proofErr w:type="spellEnd"/>
      <w:r w:rsidRPr="00FE52F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FE52FA" w:rsidRPr="00FE52FA" w:rsidRDefault="00FE52FA" w:rsidP="00FE52F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E52FA" w:rsidRPr="00FE52FA" w:rsidRDefault="00FE52FA" w:rsidP="00FE52FA">
      <w:pPr>
        <w:numPr>
          <w:ilvl w:val="0"/>
          <w:numId w:val="49"/>
        </w:numPr>
        <w:autoSpaceDE w:val="0"/>
        <w:autoSpaceDN w:val="0"/>
        <w:adjustRightInd w:val="0"/>
        <w:spacing w:after="284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Business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; Fixed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Indirect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Direct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Semi-variable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Stepped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Total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Unit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Marginal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numPr>
          <w:ilvl w:val="0"/>
          <w:numId w:val="49"/>
        </w:numPr>
        <w:autoSpaceDE w:val="0"/>
        <w:autoSpaceDN w:val="0"/>
        <w:adjustRightInd w:val="0"/>
        <w:spacing w:after="284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Pricing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Methods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Cost-plus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pricing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Discounting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Competitive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pricing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numPr>
          <w:ilvl w:val="0"/>
          <w:numId w:val="49"/>
        </w:numPr>
        <w:autoSpaceDE w:val="0"/>
        <w:autoSpaceDN w:val="0"/>
        <w:adjustRightInd w:val="0"/>
        <w:spacing w:after="284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Break-even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including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Break-even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formulae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Contribution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per unit, Total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contribution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Margin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safety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Contribution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sales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ratio, Profit /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loss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Break-even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charts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Contribution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/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Sales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(profit/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volume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)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charts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Budgeting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Types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budgets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Purposes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budgeting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Preparation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revision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budgets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Calculation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variances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evaluation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variance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E52FA">
        <w:rPr>
          <w:rFonts w:eastAsiaTheme="minorHAnsi"/>
          <w:color w:val="000000"/>
          <w:sz w:val="24"/>
          <w:szCs w:val="24"/>
          <w:lang w:val="hu-HU"/>
        </w:rPr>
        <w:t>results</w:t>
      </w:r>
      <w:proofErr w:type="spellEnd"/>
      <w:r w:rsidRPr="00FE52FA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FE52FA" w:rsidRPr="00FE52FA" w:rsidRDefault="00FE52FA" w:rsidP="00FE52FA">
      <w:pPr>
        <w:jc w:val="both"/>
        <w:rPr>
          <w:sz w:val="24"/>
          <w:szCs w:val="24"/>
        </w:rPr>
      </w:pPr>
    </w:p>
    <w:sectPr w:rsidR="00FE52FA" w:rsidRPr="00FE52FA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04" w:rsidRDefault="005E3D04" w:rsidP="00510029">
      <w:pPr>
        <w:spacing w:line="240" w:lineRule="auto"/>
      </w:pPr>
      <w:r>
        <w:separator/>
      </w:r>
    </w:p>
  </w:endnote>
  <w:endnote w:type="continuationSeparator" w:id="0">
    <w:p w:rsidR="005E3D04" w:rsidRDefault="005E3D04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04" w:rsidRDefault="005E3D04" w:rsidP="00510029">
      <w:pPr>
        <w:spacing w:line="240" w:lineRule="auto"/>
      </w:pPr>
      <w:r>
        <w:separator/>
      </w:r>
    </w:p>
  </w:footnote>
  <w:footnote w:type="continuationSeparator" w:id="0">
    <w:p w:rsidR="005E3D04" w:rsidRDefault="005E3D04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21F65">
    <w:pPr>
      <w:pStyle w:val="lfej"/>
    </w:pPr>
    <w:r w:rsidRPr="00721F6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721F65" w:rsidRPr="00721F65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21F65">
    <w:pPr>
      <w:pStyle w:val="lfej"/>
    </w:pPr>
    <w:r w:rsidRPr="00721F6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C61715"/>
    <w:multiLevelType w:val="hybridMultilevel"/>
    <w:tmpl w:val="9AA527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EB1937D"/>
    <w:multiLevelType w:val="hybridMultilevel"/>
    <w:tmpl w:val="088B58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37A3150"/>
    <w:multiLevelType w:val="hybridMultilevel"/>
    <w:tmpl w:val="EF6D85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4A2D27"/>
    <w:multiLevelType w:val="hybridMultilevel"/>
    <w:tmpl w:val="792E4C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325F985"/>
    <w:multiLevelType w:val="hybridMultilevel"/>
    <w:tmpl w:val="0247FE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E5E7FF1"/>
    <w:multiLevelType w:val="hybridMultilevel"/>
    <w:tmpl w:val="57E740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455A912"/>
    <w:multiLevelType w:val="hybridMultilevel"/>
    <w:tmpl w:val="BECE0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A72FA9"/>
    <w:multiLevelType w:val="hybridMultilevel"/>
    <w:tmpl w:val="3EDDB8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0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3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E8BA054"/>
    <w:multiLevelType w:val="hybridMultilevel"/>
    <w:tmpl w:val="3C1132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22"/>
  </w:num>
  <w:num w:numId="5">
    <w:abstractNumId w:val="28"/>
  </w:num>
  <w:num w:numId="6">
    <w:abstractNumId w:val="46"/>
  </w:num>
  <w:num w:numId="7">
    <w:abstractNumId w:val="35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10"/>
  </w:num>
  <w:num w:numId="23">
    <w:abstractNumId w:val="21"/>
  </w:num>
  <w:num w:numId="24">
    <w:abstractNumId w:val="19"/>
  </w:num>
  <w:num w:numId="25">
    <w:abstractNumId w:val="0"/>
  </w:num>
  <w:num w:numId="26">
    <w:abstractNumId w:val="13"/>
  </w:num>
  <w:num w:numId="27">
    <w:abstractNumId w:val="8"/>
  </w:num>
  <w:num w:numId="28">
    <w:abstractNumId w:val="3"/>
  </w:num>
  <w:num w:numId="29">
    <w:abstractNumId w:val="1"/>
  </w:num>
  <w:num w:numId="30">
    <w:abstractNumId w:val="40"/>
  </w:num>
  <w:num w:numId="31">
    <w:abstractNumId w:val="23"/>
  </w:num>
  <w:num w:numId="32">
    <w:abstractNumId w:val="9"/>
  </w:num>
  <w:num w:numId="33">
    <w:abstractNumId w:val="6"/>
  </w:num>
  <w:num w:numId="34">
    <w:abstractNumId w:val="30"/>
  </w:num>
  <w:num w:numId="35">
    <w:abstractNumId w:val="36"/>
  </w:num>
  <w:num w:numId="36">
    <w:abstractNumId w:val="7"/>
  </w:num>
  <w:num w:numId="37">
    <w:abstractNumId w:val="11"/>
  </w:num>
  <w:num w:numId="38">
    <w:abstractNumId w:val="34"/>
  </w:num>
  <w:num w:numId="39">
    <w:abstractNumId w:val="17"/>
  </w:num>
  <w:num w:numId="40">
    <w:abstractNumId w:val="18"/>
  </w:num>
  <w:num w:numId="41">
    <w:abstractNumId w:val="5"/>
  </w:num>
  <w:num w:numId="42">
    <w:abstractNumId w:val="37"/>
  </w:num>
  <w:num w:numId="43">
    <w:abstractNumId w:val="14"/>
  </w:num>
  <w:num w:numId="44">
    <w:abstractNumId w:val="15"/>
  </w:num>
  <w:num w:numId="45">
    <w:abstractNumId w:val="26"/>
  </w:num>
  <w:num w:numId="46">
    <w:abstractNumId w:val="12"/>
  </w:num>
  <w:num w:numId="47">
    <w:abstractNumId w:val="2"/>
  </w:num>
  <w:num w:numId="48">
    <w:abstractNumId w:val="4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53039"/>
    <w:rsid w:val="005C5BF6"/>
    <w:rsid w:val="005E3D04"/>
    <w:rsid w:val="005F73DB"/>
    <w:rsid w:val="00602494"/>
    <w:rsid w:val="006220B0"/>
    <w:rsid w:val="006501C1"/>
    <w:rsid w:val="00673792"/>
    <w:rsid w:val="006B5811"/>
    <w:rsid w:val="006D010C"/>
    <w:rsid w:val="00721F65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E52FA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6527-8898-41A5-952A-62F1B926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2017-03-10T11:02:00Z</dcterms:created>
  <dcterms:modified xsi:type="dcterms:W3CDTF">2017-03-10T11:11:00Z</dcterms:modified>
</cp:coreProperties>
</file>